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EFE2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[Your Name]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br/>
        <w:t>[Your Title]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br/>
        <w:t>[Department]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br/>
        <w:t>[Your Email]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br/>
        <w:t>[Today’s Date]</w:t>
      </w:r>
    </w:p>
    <w:p w14:paraId="4BAF61CE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To: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 [Manager’s Name]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br/>
        <w:t>[Manager’s Title]</w:t>
      </w:r>
    </w:p>
    <w:p w14:paraId="2247F83A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Subject: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 Request for Approval to Attend </w:t>
      </w:r>
      <w:r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>Nonstop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 TBC 2025</w:t>
      </w:r>
    </w:p>
    <w:p w14:paraId="3E0A7B1F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>Dear [Manager’s Name],</w:t>
      </w:r>
    </w:p>
    <w:p w14:paraId="33223AFD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I am writing to request approval to attend the </w:t>
      </w: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 xml:space="preserve">HPE </w:t>
      </w:r>
      <w:r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Nonstop</w:t>
      </w: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 xml:space="preserve"> Technology and Business Conference (</w:t>
      </w:r>
      <w:hyperlink r:id="rId5" w:history="1">
        <w:r>
          <w:rPr>
            <w:rStyle w:val="Hyperlink"/>
            <w:rFonts w:ascii="MetricHPE" w:eastAsia="Times New Roman" w:hAnsi="MetricHPE" w:cs="Times New Roman"/>
            <w:b/>
            <w:bCs/>
            <w:kern w:val="0"/>
            <w:sz w:val="24"/>
            <w:szCs w:val="24"/>
            <w14:ligatures w14:val="none"/>
          </w:rPr>
          <w:t>Nonstop</w:t>
        </w:r>
        <w:r w:rsidRPr="006C2E55">
          <w:rPr>
            <w:rStyle w:val="Hyperlink"/>
            <w:rFonts w:ascii="MetricHPE" w:eastAsia="Times New Roman" w:hAnsi="MetricHPE" w:cs="Times New Roman"/>
            <w:b/>
            <w:bCs/>
            <w:kern w:val="0"/>
            <w:sz w:val="24"/>
            <w:szCs w:val="24"/>
            <w14:ligatures w14:val="none"/>
          </w:rPr>
          <w:t xml:space="preserve"> TBC</w:t>
        </w:r>
      </w:hyperlink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)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, taking place </w:t>
      </w: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September 16–18, 2025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, in </w:t>
      </w: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The Woodlands, Texas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. This is the premier global event for professionals in the HPE </w:t>
      </w:r>
      <w:r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>Nonstop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 ecosystem, bringing together customers, partners, and industry experts to share knowledge, explore new technologies, and discuss strategic directions for mission-critical computing.</w:t>
      </w:r>
    </w:p>
    <w:p w14:paraId="433DD6E0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Benefits of Attending:</w:t>
      </w:r>
    </w:p>
    <w:p w14:paraId="3669167C" w14:textId="77777777" w:rsidR="006C2E55" w:rsidRPr="006C2E55" w:rsidRDefault="006C2E55" w:rsidP="006C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Technical Knowledge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>: I will gain hands-on insights from HPE experts and solution providers, with sessions covering system architecture, security, modernization, business continuity, and emerging technologies like AI and data integration.</w:t>
      </w:r>
    </w:p>
    <w:p w14:paraId="789054FB" w14:textId="77777777" w:rsidR="006C2E55" w:rsidRPr="006C2E55" w:rsidRDefault="006C2E55" w:rsidP="006C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Business Impact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>: The conference includes a dedicated business track to help organizations align technology investments with strategic outcomes—particularly valuable for IT leaders and decision-makers.</w:t>
      </w:r>
    </w:p>
    <w:p w14:paraId="54191B64" w14:textId="77777777" w:rsidR="006C2E55" w:rsidRPr="006C2E55" w:rsidRDefault="006C2E55" w:rsidP="006C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Peer Networking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: I’ll have the opportunity to connect with fellow </w:t>
      </w:r>
      <w:r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>Nonstop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 professionals, exchange best practices, and build relationships that can support future initiatives.</w:t>
      </w:r>
    </w:p>
    <w:p w14:paraId="623CAF0E" w14:textId="77777777" w:rsidR="006C2E55" w:rsidRPr="006C2E55" w:rsidRDefault="006C2E55" w:rsidP="006C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Direct Access to Vendors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: </w:t>
      </w:r>
      <w:r w:rsidR="006250E9" w:rsidRPr="006250E9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>The Partner Pavilion will feature Solution Providers from across the globe offering tools and services that may enhance our Nonstop environment.</w:t>
      </w:r>
    </w:p>
    <w:p w14:paraId="4D14A339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b/>
          <w:bCs/>
          <w:kern w:val="0"/>
          <w:sz w:val="24"/>
          <w:szCs w:val="24"/>
          <w14:ligatures w14:val="none"/>
        </w:rPr>
        <w:t>Estimated Costs: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6570"/>
      </w:tblGrid>
      <w:tr w:rsidR="006C2E55" w:rsidRPr="006C2E55" w14:paraId="681A8082" w14:textId="77777777" w:rsidTr="00346006">
        <w:trPr>
          <w:tblHeader/>
          <w:tblCellSpacing w:w="15" w:type="dxa"/>
        </w:trPr>
        <w:tc>
          <w:tcPr>
            <w:tcW w:w="2835" w:type="dxa"/>
            <w:vAlign w:val="center"/>
            <w:hideMark/>
          </w:tcPr>
          <w:p w14:paraId="2BC69434" w14:textId="77777777" w:rsidR="006C2E55" w:rsidRPr="006C2E55" w:rsidRDefault="006C2E55" w:rsidP="006C2E55">
            <w:pPr>
              <w:spacing w:after="0" w:line="240" w:lineRule="auto"/>
              <w:jc w:val="center"/>
              <w:rPr>
                <w:rFonts w:ascii="MetricHPE" w:eastAsia="Times New Roman" w:hAnsi="MetricHP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b/>
                <w:bCs/>
                <w:kern w:val="0"/>
                <w:sz w:val="24"/>
                <w:szCs w:val="24"/>
                <w14:ligatures w14:val="none"/>
              </w:rPr>
              <w:t>Item</w:t>
            </w:r>
          </w:p>
        </w:tc>
        <w:tc>
          <w:tcPr>
            <w:tcW w:w="6525" w:type="dxa"/>
            <w:vAlign w:val="center"/>
            <w:hideMark/>
          </w:tcPr>
          <w:p w14:paraId="7C306834" w14:textId="77777777" w:rsidR="006C2E55" w:rsidRPr="006C2E55" w:rsidRDefault="006C2E55" w:rsidP="006C2E55">
            <w:pPr>
              <w:spacing w:after="0" w:line="240" w:lineRule="auto"/>
              <w:jc w:val="center"/>
              <w:rPr>
                <w:rFonts w:ascii="MetricHPE" w:eastAsia="Times New Roman" w:hAnsi="MetricHP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b/>
                <w:bCs/>
                <w:kern w:val="0"/>
                <w:sz w:val="24"/>
                <w:szCs w:val="24"/>
                <w14:ligatures w14:val="none"/>
              </w:rPr>
              <w:t>Cost Estimate</w:t>
            </w:r>
          </w:p>
        </w:tc>
      </w:tr>
      <w:tr w:rsidR="006C2E55" w:rsidRPr="006C2E55" w14:paraId="3ABD92AD" w14:textId="77777777" w:rsidTr="0034600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BC0F189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Conference Registration</w:t>
            </w:r>
          </w:p>
        </w:tc>
        <w:tc>
          <w:tcPr>
            <w:tcW w:w="6525" w:type="dxa"/>
            <w:vAlign w:val="center"/>
            <w:hideMark/>
          </w:tcPr>
          <w:p w14:paraId="13FF0DB5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 xml:space="preserve">[Insert amount – see: </w:t>
            </w:r>
            <w:hyperlink r:id="rId6" w:tgtFrame="_new" w:history="1">
              <w:r w:rsidRPr="006C2E55">
                <w:rPr>
                  <w:rFonts w:ascii="MetricHPE" w:eastAsia="Times New Roman" w:hAnsi="MetricHPE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www.</w:t>
              </w:r>
              <w:r>
                <w:rPr>
                  <w:rFonts w:ascii="MetricHPE" w:eastAsia="Times New Roman" w:hAnsi="MetricHPE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Nonstop</w:t>
              </w:r>
              <w:r w:rsidRPr="006C2E55">
                <w:rPr>
                  <w:rFonts w:ascii="MetricHPE" w:eastAsia="Times New Roman" w:hAnsi="MetricHPE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tbc.com/register</w:t>
              </w:r>
            </w:hyperlink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]</w:t>
            </w:r>
          </w:p>
        </w:tc>
      </w:tr>
      <w:tr w:rsidR="006C2E55" w:rsidRPr="006C2E55" w14:paraId="05B30232" w14:textId="77777777" w:rsidTr="0034600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15B0B9FC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Travel (flight/train)</w:t>
            </w:r>
          </w:p>
        </w:tc>
        <w:tc>
          <w:tcPr>
            <w:tcW w:w="6525" w:type="dxa"/>
            <w:vAlign w:val="center"/>
            <w:hideMark/>
          </w:tcPr>
          <w:p w14:paraId="37DBC8CC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[Insert amount]</w:t>
            </w:r>
          </w:p>
        </w:tc>
      </w:tr>
      <w:tr w:rsidR="006C2E55" w:rsidRPr="006C2E55" w14:paraId="21E5374B" w14:textId="77777777" w:rsidTr="0034600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3F67E19A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Hotel (3 nights)</w:t>
            </w:r>
          </w:p>
        </w:tc>
        <w:tc>
          <w:tcPr>
            <w:tcW w:w="6525" w:type="dxa"/>
            <w:vAlign w:val="center"/>
            <w:hideMark/>
          </w:tcPr>
          <w:p w14:paraId="0F469595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[Insert amount]</w:t>
            </w:r>
          </w:p>
        </w:tc>
      </w:tr>
      <w:tr w:rsidR="006C2E55" w:rsidRPr="006C2E55" w14:paraId="498E8672" w14:textId="77777777" w:rsidTr="0034600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186FAA1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Meals &amp; Incidentals</w:t>
            </w:r>
          </w:p>
        </w:tc>
        <w:tc>
          <w:tcPr>
            <w:tcW w:w="6525" w:type="dxa"/>
            <w:vAlign w:val="center"/>
            <w:hideMark/>
          </w:tcPr>
          <w:p w14:paraId="6249F024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[Insert amount]</w:t>
            </w:r>
          </w:p>
        </w:tc>
      </w:tr>
      <w:tr w:rsidR="006C2E55" w:rsidRPr="006C2E55" w14:paraId="07E85DF0" w14:textId="77777777" w:rsidTr="00346006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BC8966E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b/>
                <w:bCs/>
                <w:kern w:val="0"/>
                <w:sz w:val="24"/>
                <w:szCs w:val="24"/>
                <w14:ligatures w14:val="none"/>
              </w:rPr>
              <w:t>Total Estimated Cost</w:t>
            </w:r>
          </w:p>
        </w:tc>
        <w:tc>
          <w:tcPr>
            <w:tcW w:w="6525" w:type="dxa"/>
            <w:vAlign w:val="center"/>
            <w:hideMark/>
          </w:tcPr>
          <w:p w14:paraId="5940040D" w14:textId="77777777" w:rsidR="006C2E55" w:rsidRPr="006C2E55" w:rsidRDefault="006C2E55" w:rsidP="006C2E55">
            <w:pPr>
              <w:spacing w:after="0" w:line="240" w:lineRule="auto"/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</w:pP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[</w:t>
            </w:r>
            <w:r w:rsidRPr="006C2E55">
              <w:rPr>
                <w:rFonts w:ascii="MetricHPE" w:eastAsia="Times New Roman" w:hAnsi="MetricHPE" w:cs="Times New Roman"/>
                <w:b/>
                <w:bCs/>
                <w:kern w:val="0"/>
                <w:sz w:val="24"/>
                <w:szCs w:val="24"/>
                <w14:ligatures w14:val="none"/>
              </w:rPr>
              <w:t>Insert total</w:t>
            </w:r>
            <w:r w:rsidRPr="006C2E55">
              <w:rPr>
                <w:rFonts w:ascii="MetricHPE" w:eastAsia="Times New Roman" w:hAnsi="MetricHPE" w:cs="Times New Roman"/>
                <w:kern w:val="0"/>
                <w:sz w:val="24"/>
                <w:szCs w:val="24"/>
                <w14:ligatures w14:val="none"/>
              </w:rPr>
              <w:t>]</w:t>
            </w:r>
          </w:p>
        </w:tc>
      </w:tr>
    </w:tbl>
    <w:p w14:paraId="78687349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I believe attending </w:t>
      </w:r>
      <w:r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>Nonstop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 TBC 2025 will deliver strong ROI through improved system knowledge, reduced operational risk, and exposure to solutions that support our organization’s goals. I am happy to provide a post-conference summary and share key takeaways with our team.</w:t>
      </w:r>
    </w:p>
    <w:p w14:paraId="5A1BB313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 xml:space="preserve">You can find more information about the event at: </w:t>
      </w:r>
      <w:hyperlink r:id="rId7" w:tgtFrame="_new" w:history="1">
        <w:r w:rsidR="004A32D6">
          <w:rPr>
            <w:rFonts w:ascii="MetricHPE" w:eastAsia="Times New Roman" w:hAnsi="MetricHPE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www.NonstopTBC.com</w:t>
        </w:r>
      </w:hyperlink>
    </w:p>
    <w:p w14:paraId="73B1CDF8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t>Thank you for considering my request. Please let me know if you’d like any additional information.</w:t>
      </w:r>
    </w:p>
    <w:p w14:paraId="07379CC8" w14:textId="77777777" w:rsidR="006C2E55" w:rsidRPr="006C2E55" w:rsidRDefault="006C2E55" w:rsidP="006C2E55">
      <w:pPr>
        <w:spacing w:before="100" w:beforeAutospacing="1" w:after="100" w:afterAutospacing="1" w:line="240" w:lineRule="auto"/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</w:pP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lastRenderedPageBreak/>
        <w:t>Sincerely,</w:t>
      </w:r>
      <w:r w:rsidRPr="006C2E55">
        <w:rPr>
          <w:rFonts w:ascii="MetricHPE" w:eastAsia="Times New Roman" w:hAnsi="MetricHPE" w:cs="Times New Roman"/>
          <w:kern w:val="0"/>
          <w:sz w:val="24"/>
          <w:szCs w:val="24"/>
          <w14:ligatures w14:val="none"/>
        </w:rPr>
        <w:br/>
        <w:t>[Your Name]</w:t>
      </w:r>
    </w:p>
    <w:p w14:paraId="7B865787" w14:textId="77777777" w:rsidR="009867AB" w:rsidRPr="006C2E55" w:rsidRDefault="009867AB">
      <w:pPr>
        <w:rPr>
          <w:rFonts w:ascii="MetricHPE" w:hAnsi="MetricHPE"/>
        </w:rPr>
      </w:pPr>
    </w:p>
    <w:sectPr w:rsidR="009867AB" w:rsidRPr="006C2E55" w:rsidSect="00D43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ricHPE">
    <w:panose1 w:val="00000000000000000000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97ACD"/>
    <w:multiLevelType w:val="multilevel"/>
    <w:tmpl w:val="B85C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17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5"/>
    <w:rsid w:val="000B72C6"/>
    <w:rsid w:val="001901C0"/>
    <w:rsid w:val="0031285A"/>
    <w:rsid w:val="00346006"/>
    <w:rsid w:val="004A32D6"/>
    <w:rsid w:val="004E5241"/>
    <w:rsid w:val="006250E9"/>
    <w:rsid w:val="006C2E55"/>
    <w:rsid w:val="008F1E1C"/>
    <w:rsid w:val="009867AB"/>
    <w:rsid w:val="009F32B6"/>
    <w:rsid w:val="00A74D7D"/>
    <w:rsid w:val="00C55603"/>
    <w:rsid w:val="00D43C95"/>
    <w:rsid w:val="00F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0E93A"/>
  <w15:chartTrackingRefBased/>
  <w15:docId w15:val="{A68EC439-9F88-4DF0-A9A6-39D64D0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E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E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E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E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E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2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nstoptb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nstoptbc.com/register" TargetMode="External"/><Relationship Id="rId5" Type="http://schemas.openxmlformats.org/officeDocument/2006/relationships/hyperlink" Target="http://www.nonstoptb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1981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Luna</dc:creator>
  <cp:keywords/>
  <dc:description/>
  <cp:lastModifiedBy>B B</cp:lastModifiedBy>
  <cp:revision>2</cp:revision>
  <dcterms:created xsi:type="dcterms:W3CDTF">2025-07-22T16:05:00Z</dcterms:created>
  <dcterms:modified xsi:type="dcterms:W3CDTF">2025-07-22T16:05:00Z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e773e7bf-4774-423e-8f1f-6914a5155a1b</vt:lpwstr>
  </property>
</Properties>
</file>